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68006" w14:textId="77777777" w:rsidR="004A1DE7" w:rsidRPr="00AC03F5" w:rsidRDefault="004A1DE7" w:rsidP="004A1DE7">
      <w:pPr>
        <w:spacing w:after="0" w:line="240" w:lineRule="auto"/>
        <w:jc w:val="center"/>
        <w:rPr>
          <w:rFonts w:ascii="Calibri" w:hAnsi="Calibri" w:cs="Calibri"/>
          <w:b/>
          <w:sz w:val="24"/>
          <w:szCs w:val="24"/>
        </w:rPr>
      </w:pPr>
      <w:r w:rsidRPr="00AC03F5">
        <w:rPr>
          <w:rFonts w:ascii="Calibri" w:hAnsi="Calibri" w:cs="Calibri"/>
          <w:b/>
          <w:sz w:val="24"/>
          <w:szCs w:val="24"/>
        </w:rPr>
        <w:t>Disclosure to Learners</w:t>
      </w:r>
    </w:p>
    <w:p w14:paraId="440A3E98" w14:textId="77777777" w:rsidR="004A1DE7" w:rsidRPr="00AC03F5" w:rsidRDefault="004A1DE7" w:rsidP="004A1DE7">
      <w:pPr>
        <w:spacing w:after="0" w:line="240" w:lineRule="auto"/>
        <w:jc w:val="center"/>
        <w:rPr>
          <w:rFonts w:ascii="Calibri" w:hAnsi="Calibri" w:cs="Calibri"/>
          <w:b/>
          <w:sz w:val="24"/>
          <w:szCs w:val="24"/>
        </w:rPr>
      </w:pPr>
      <w:r w:rsidRPr="00AC03F5">
        <w:rPr>
          <w:rFonts w:ascii="Calibri" w:hAnsi="Calibri" w:cs="Calibri"/>
          <w:b/>
          <w:sz w:val="24"/>
          <w:szCs w:val="24"/>
        </w:rPr>
        <w:t>Individuals in Control of Content / Commercial Support</w:t>
      </w:r>
    </w:p>
    <w:p w14:paraId="581033F2" w14:textId="77777777" w:rsidR="004A1DE7" w:rsidRPr="00AC03F5" w:rsidRDefault="004A1DE7" w:rsidP="004A1DE7">
      <w:pPr>
        <w:spacing w:after="0" w:line="240" w:lineRule="auto"/>
        <w:rPr>
          <w:rFonts w:ascii="Calibri" w:hAnsi="Calibri" w:cs="Calibri"/>
          <w:sz w:val="20"/>
          <w:szCs w:val="20"/>
        </w:rPr>
      </w:pPr>
    </w:p>
    <w:p w14:paraId="00A5A5E2" w14:textId="77777777" w:rsidR="004A1DE7" w:rsidRPr="00AC03F5" w:rsidRDefault="004A1DE7" w:rsidP="004A1DE7">
      <w:pPr>
        <w:spacing w:after="0" w:line="240" w:lineRule="auto"/>
        <w:rPr>
          <w:rFonts w:ascii="Calibri" w:hAnsi="Calibri" w:cs="Calibri"/>
          <w:b/>
          <w:sz w:val="24"/>
          <w:szCs w:val="24"/>
        </w:rPr>
      </w:pPr>
      <w:r w:rsidRPr="00AC03F5">
        <w:rPr>
          <w:rFonts w:ascii="Calibri" w:hAnsi="Calibri" w:cs="Calibri"/>
          <w:b/>
          <w:sz w:val="24"/>
          <w:szCs w:val="24"/>
        </w:rPr>
        <w:t xml:space="preserve">Activity Title: </w:t>
      </w:r>
      <w:r w:rsidRPr="00AC03F5">
        <w:rPr>
          <w:rFonts w:ascii="Calibri" w:hAnsi="Calibri" w:cs="Calibri"/>
          <w:bCs/>
          <w:sz w:val="24"/>
          <w:szCs w:val="24"/>
        </w:rPr>
        <w:t>The 49</w:t>
      </w:r>
      <w:r w:rsidRPr="00AC03F5">
        <w:rPr>
          <w:rFonts w:ascii="Calibri" w:hAnsi="Calibri" w:cs="Calibri"/>
          <w:bCs/>
          <w:sz w:val="24"/>
          <w:szCs w:val="24"/>
          <w:vertAlign w:val="superscript"/>
        </w:rPr>
        <w:t>th</w:t>
      </w:r>
      <w:r w:rsidRPr="00AC03F5">
        <w:rPr>
          <w:rFonts w:ascii="Calibri" w:hAnsi="Calibri" w:cs="Calibri"/>
          <w:bCs/>
          <w:sz w:val="24"/>
          <w:szCs w:val="24"/>
        </w:rPr>
        <w:t xml:space="preserve"> Annual Indiana Emergency Medicine Conference</w:t>
      </w:r>
    </w:p>
    <w:p w14:paraId="6DD96FD8" w14:textId="77777777" w:rsidR="004A1DE7" w:rsidRPr="009E6E1F" w:rsidRDefault="004A1DE7" w:rsidP="004A1DE7">
      <w:pPr>
        <w:spacing w:after="0" w:line="240" w:lineRule="auto"/>
        <w:rPr>
          <w:rFonts w:ascii="Calibri" w:hAnsi="Calibri" w:cs="Calibri"/>
          <w:sz w:val="8"/>
          <w:szCs w:val="8"/>
        </w:rPr>
      </w:pPr>
    </w:p>
    <w:p w14:paraId="49A499C5" w14:textId="77777777" w:rsidR="004A1DE7" w:rsidRPr="00AC03F5" w:rsidRDefault="004A1DE7" w:rsidP="004A1DE7">
      <w:pPr>
        <w:spacing w:after="0" w:line="240" w:lineRule="auto"/>
        <w:rPr>
          <w:rFonts w:ascii="Calibri" w:hAnsi="Calibri" w:cs="Calibri"/>
          <w:sz w:val="24"/>
          <w:szCs w:val="24"/>
        </w:rPr>
      </w:pPr>
      <w:r w:rsidRPr="00AC03F5">
        <w:rPr>
          <w:rFonts w:ascii="Calibri" w:hAnsi="Calibri" w:cs="Calibri"/>
          <w:b/>
          <w:sz w:val="24"/>
          <w:szCs w:val="24"/>
        </w:rPr>
        <w:t>Activity Date</w:t>
      </w:r>
      <w:r w:rsidRPr="00AC03F5">
        <w:rPr>
          <w:rFonts w:ascii="Calibri" w:hAnsi="Calibri" w:cs="Calibri"/>
          <w:sz w:val="24"/>
          <w:szCs w:val="24"/>
        </w:rPr>
        <w:t>: April 15, 2021</w:t>
      </w:r>
    </w:p>
    <w:p w14:paraId="4AABF9F3" w14:textId="77777777" w:rsidR="004A1DE7" w:rsidRPr="009E6E1F" w:rsidRDefault="004A1DE7" w:rsidP="004A1DE7">
      <w:pPr>
        <w:spacing w:after="0" w:line="240" w:lineRule="auto"/>
        <w:rPr>
          <w:rFonts w:ascii="Calibri" w:hAnsi="Calibri" w:cs="Calibri"/>
          <w:sz w:val="8"/>
          <w:szCs w:val="8"/>
        </w:rPr>
      </w:pPr>
    </w:p>
    <w:p w14:paraId="42A0C1E2" w14:textId="77777777" w:rsidR="004A1DE7" w:rsidRPr="00AC03F5" w:rsidRDefault="004A1DE7" w:rsidP="004A1DE7">
      <w:pPr>
        <w:spacing w:after="0" w:line="240" w:lineRule="auto"/>
        <w:rPr>
          <w:rFonts w:ascii="Calibri" w:hAnsi="Calibri" w:cs="Calibri"/>
          <w:b/>
          <w:sz w:val="24"/>
          <w:szCs w:val="24"/>
        </w:rPr>
      </w:pPr>
      <w:r w:rsidRPr="00AC03F5">
        <w:rPr>
          <w:rFonts w:ascii="Calibri" w:hAnsi="Calibri" w:cs="Calibri"/>
          <w:b/>
          <w:sz w:val="24"/>
          <w:szCs w:val="24"/>
        </w:rPr>
        <w:t>Individuals in control of content:</w:t>
      </w:r>
    </w:p>
    <w:p w14:paraId="2C3AD671" w14:textId="77777777" w:rsidR="004A1DE7" w:rsidRPr="009E6E1F" w:rsidRDefault="004A1DE7" w:rsidP="004A1DE7">
      <w:pPr>
        <w:spacing w:after="0" w:line="240" w:lineRule="auto"/>
        <w:ind w:left="720"/>
        <w:rPr>
          <w:rFonts w:ascii="Calibri" w:hAnsi="Calibri" w:cs="Calibri"/>
          <w:b/>
          <w:sz w:val="8"/>
          <w:szCs w:val="8"/>
        </w:rPr>
      </w:pPr>
    </w:p>
    <w:p w14:paraId="684170A2" w14:textId="77777777" w:rsidR="004A1DE7" w:rsidRPr="00AC03F5" w:rsidRDefault="004A1DE7" w:rsidP="004A1DE7">
      <w:pPr>
        <w:pStyle w:val="ListParagraph"/>
        <w:numPr>
          <w:ilvl w:val="0"/>
          <w:numId w:val="1"/>
        </w:numPr>
        <w:spacing w:after="0" w:line="240" w:lineRule="auto"/>
        <w:rPr>
          <w:rFonts w:ascii="Calibri" w:hAnsi="Calibri" w:cs="Calibri"/>
          <w:sz w:val="20"/>
          <w:szCs w:val="20"/>
        </w:rPr>
      </w:pPr>
      <w:r w:rsidRPr="00AC03F5">
        <w:rPr>
          <w:rFonts w:ascii="Calibri" w:eastAsia="Times New Roman" w:hAnsi="Calibri" w:cs="Calibri"/>
          <w:color w:val="000000" w:themeColor="text1"/>
          <w:sz w:val="20"/>
          <w:szCs w:val="20"/>
        </w:rPr>
        <w:t>Tyler Johnson MD, FACEP – Education Planning Representative</w:t>
      </w:r>
    </w:p>
    <w:p w14:paraId="318AF0E9" w14:textId="77777777" w:rsidR="004A1DE7" w:rsidRPr="00AC03F5" w:rsidRDefault="004A1DE7" w:rsidP="004A1DE7">
      <w:pPr>
        <w:pStyle w:val="ListParagraph"/>
        <w:numPr>
          <w:ilvl w:val="0"/>
          <w:numId w:val="1"/>
        </w:numPr>
        <w:spacing w:after="0" w:line="240" w:lineRule="auto"/>
        <w:rPr>
          <w:rFonts w:ascii="Calibri" w:hAnsi="Calibri" w:cs="Calibri"/>
          <w:sz w:val="20"/>
          <w:szCs w:val="20"/>
        </w:rPr>
      </w:pPr>
      <w:r w:rsidRPr="00AC03F5">
        <w:rPr>
          <w:rFonts w:ascii="Calibri" w:eastAsia="Times New Roman" w:hAnsi="Calibri" w:cs="Calibri"/>
          <w:color w:val="000000" w:themeColor="text1"/>
          <w:sz w:val="20"/>
          <w:szCs w:val="20"/>
        </w:rPr>
        <w:t>Sue Barnhart – Pre-Activity/ On-Site Representative</w:t>
      </w:r>
    </w:p>
    <w:p w14:paraId="3A48F05D" w14:textId="77777777" w:rsidR="004A1DE7" w:rsidRPr="00AC03F5" w:rsidRDefault="004A1DE7" w:rsidP="004A1DE7">
      <w:pPr>
        <w:pStyle w:val="ListParagraph"/>
        <w:numPr>
          <w:ilvl w:val="0"/>
          <w:numId w:val="1"/>
        </w:numPr>
        <w:spacing w:after="0" w:line="240" w:lineRule="auto"/>
        <w:rPr>
          <w:rFonts w:ascii="Calibri" w:hAnsi="Calibri" w:cs="Calibri"/>
          <w:sz w:val="20"/>
          <w:szCs w:val="20"/>
        </w:rPr>
      </w:pPr>
      <w:r w:rsidRPr="00AC03F5">
        <w:rPr>
          <w:rFonts w:ascii="Calibri" w:eastAsia="Times New Roman" w:hAnsi="Calibri" w:cs="Calibri"/>
          <w:color w:val="000000" w:themeColor="text1"/>
          <w:sz w:val="20"/>
          <w:szCs w:val="20"/>
        </w:rPr>
        <w:t>Richard Cantor MD, FAAP, FACEP – Faculty</w:t>
      </w:r>
    </w:p>
    <w:p w14:paraId="1B39F1D6" w14:textId="77777777" w:rsidR="004A1DE7" w:rsidRPr="00AC03F5" w:rsidRDefault="004A1DE7" w:rsidP="004A1DE7">
      <w:pPr>
        <w:pStyle w:val="ListParagraph"/>
        <w:numPr>
          <w:ilvl w:val="0"/>
          <w:numId w:val="1"/>
        </w:numPr>
        <w:spacing w:after="0" w:line="240" w:lineRule="auto"/>
        <w:rPr>
          <w:rFonts w:ascii="Calibri" w:hAnsi="Calibri" w:cs="Calibri"/>
          <w:sz w:val="20"/>
          <w:szCs w:val="20"/>
        </w:rPr>
      </w:pPr>
      <w:r w:rsidRPr="00AC03F5">
        <w:rPr>
          <w:rFonts w:ascii="Calibri" w:eastAsia="Times New Roman" w:hAnsi="Calibri" w:cs="Calibri"/>
          <w:color w:val="000000" w:themeColor="text1"/>
          <w:sz w:val="20"/>
          <w:szCs w:val="20"/>
        </w:rPr>
        <w:t>Peter Pang MD, FACEP – Faculty</w:t>
      </w:r>
    </w:p>
    <w:p w14:paraId="18FF4E40" w14:textId="77777777" w:rsidR="004A1DE7" w:rsidRPr="00AC03F5" w:rsidRDefault="004A1DE7" w:rsidP="004A1DE7">
      <w:pPr>
        <w:pStyle w:val="ListParagraph"/>
        <w:numPr>
          <w:ilvl w:val="0"/>
          <w:numId w:val="1"/>
        </w:numPr>
        <w:spacing w:after="0" w:line="240" w:lineRule="auto"/>
        <w:rPr>
          <w:rFonts w:ascii="Calibri" w:hAnsi="Calibri" w:cs="Calibri"/>
          <w:sz w:val="20"/>
          <w:szCs w:val="20"/>
        </w:rPr>
      </w:pPr>
      <w:r w:rsidRPr="00AC03F5">
        <w:rPr>
          <w:rFonts w:ascii="Calibri" w:eastAsia="Times New Roman" w:hAnsi="Calibri" w:cs="Calibri"/>
          <w:color w:val="000000" w:themeColor="text1"/>
          <w:sz w:val="20"/>
          <w:szCs w:val="20"/>
        </w:rPr>
        <w:t>Tom Rhoades</w:t>
      </w:r>
      <w:r>
        <w:rPr>
          <w:rFonts w:ascii="Calibri" w:eastAsia="Times New Roman" w:hAnsi="Calibri" w:cs="Calibri"/>
          <w:color w:val="000000" w:themeColor="text1"/>
          <w:sz w:val="20"/>
          <w:szCs w:val="20"/>
        </w:rPr>
        <w:t xml:space="preserve">, </w:t>
      </w:r>
      <w:r w:rsidRPr="00AC03F5">
        <w:rPr>
          <w:rFonts w:ascii="Calibri" w:eastAsia="Times New Roman" w:hAnsi="Calibri" w:cs="Calibri"/>
          <w:color w:val="000000" w:themeColor="text1"/>
          <w:sz w:val="20"/>
          <w:szCs w:val="20"/>
        </w:rPr>
        <w:t>Parkview Health Corporate Director of Public Safety</w:t>
      </w:r>
      <w:r>
        <w:rPr>
          <w:rFonts w:ascii="Calibri" w:eastAsia="Times New Roman" w:hAnsi="Calibri" w:cs="Calibri"/>
          <w:color w:val="000000" w:themeColor="text1"/>
          <w:sz w:val="20"/>
          <w:szCs w:val="20"/>
        </w:rPr>
        <w:t xml:space="preserve"> - Faculty</w:t>
      </w:r>
    </w:p>
    <w:p w14:paraId="1569A6DF" w14:textId="77777777" w:rsidR="004A1DE7" w:rsidRPr="00AC03F5" w:rsidRDefault="004A1DE7" w:rsidP="004A1DE7">
      <w:pPr>
        <w:pStyle w:val="ListParagraph"/>
        <w:numPr>
          <w:ilvl w:val="0"/>
          <w:numId w:val="1"/>
        </w:numPr>
        <w:spacing w:after="0" w:line="240" w:lineRule="auto"/>
        <w:rPr>
          <w:rFonts w:ascii="Calibri" w:hAnsi="Calibri" w:cs="Calibri"/>
          <w:sz w:val="20"/>
          <w:szCs w:val="20"/>
        </w:rPr>
      </w:pPr>
      <w:r w:rsidRPr="00AC03F5">
        <w:rPr>
          <w:rFonts w:ascii="Calibri" w:eastAsia="Times New Roman" w:hAnsi="Calibri" w:cs="Calibri"/>
          <w:color w:val="000000" w:themeColor="text1"/>
          <w:sz w:val="20"/>
          <w:szCs w:val="20"/>
        </w:rPr>
        <w:t>Mark Rosenberg MD, DO, MBA, FACEP – Faculty</w:t>
      </w:r>
    </w:p>
    <w:p w14:paraId="113386A4" w14:textId="77777777" w:rsidR="004A1DE7" w:rsidRPr="00AC03F5" w:rsidRDefault="004A1DE7" w:rsidP="004A1DE7">
      <w:pPr>
        <w:pStyle w:val="ListParagraph"/>
        <w:numPr>
          <w:ilvl w:val="0"/>
          <w:numId w:val="1"/>
        </w:numPr>
        <w:spacing w:after="0" w:line="240" w:lineRule="auto"/>
        <w:rPr>
          <w:rFonts w:ascii="Calibri" w:hAnsi="Calibri" w:cs="Calibri"/>
          <w:sz w:val="20"/>
          <w:szCs w:val="20"/>
        </w:rPr>
      </w:pPr>
      <w:r w:rsidRPr="00AC03F5">
        <w:rPr>
          <w:rFonts w:ascii="Calibri" w:eastAsia="Times New Roman" w:hAnsi="Calibri" w:cs="Calibri"/>
          <w:color w:val="000000" w:themeColor="text1"/>
          <w:sz w:val="20"/>
          <w:szCs w:val="20"/>
        </w:rPr>
        <w:t>Ryan Stanton MD, FACEP – Faculty</w:t>
      </w:r>
    </w:p>
    <w:p w14:paraId="00C0FBF4" w14:textId="77777777" w:rsidR="004A1DE7" w:rsidRPr="004A1DE7" w:rsidRDefault="004A1DE7" w:rsidP="004A1DE7">
      <w:pPr>
        <w:pStyle w:val="ListParagraph"/>
        <w:numPr>
          <w:ilvl w:val="0"/>
          <w:numId w:val="1"/>
        </w:numPr>
        <w:spacing w:after="0" w:line="240" w:lineRule="auto"/>
        <w:rPr>
          <w:rFonts w:ascii="Calibri" w:hAnsi="Calibri" w:cs="Calibri"/>
          <w:sz w:val="20"/>
          <w:szCs w:val="20"/>
        </w:rPr>
      </w:pPr>
      <w:r w:rsidRPr="00AC03F5">
        <w:rPr>
          <w:rFonts w:ascii="Calibri" w:eastAsia="Times New Roman" w:hAnsi="Calibri" w:cs="Calibri"/>
          <w:color w:val="000000" w:themeColor="text1"/>
          <w:sz w:val="20"/>
          <w:szCs w:val="20"/>
        </w:rPr>
        <w:t xml:space="preserve">Lindsay Weaver MD, FACEP </w:t>
      </w:r>
      <w:r>
        <w:rPr>
          <w:rFonts w:ascii="Calibri" w:eastAsia="Times New Roman" w:hAnsi="Calibri" w:cs="Calibri"/>
          <w:color w:val="000000" w:themeColor="text1"/>
          <w:sz w:val="20"/>
          <w:szCs w:val="20"/>
        </w:rPr>
        <w:t>–</w:t>
      </w:r>
      <w:r w:rsidRPr="00AC03F5">
        <w:rPr>
          <w:rFonts w:ascii="Calibri" w:eastAsia="Times New Roman" w:hAnsi="Calibri" w:cs="Calibri"/>
          <w:color w:val="000000" w:themeColor="text1"/>
          <w:sz w:val="20"/>
          <w:szCs w:val="20"/>
        </w:rPr>
        <w:t xml:space="preserve"> Faculty</w:t>
      </w:r>
    </w:p>
    <w:p w14:paraId="068E5FDD" w14:textId="77777777" w:rsidR="004A1DE7" w:rsidRDefault="004A1DE7" w:rsidP="004A1DE7">
      <w:pPr>
        <w:spacing w:after="0" w:line="240" w:lineRule="auto"/>
        <w:rPr>
          <w:rFonts w:ascii="Calibri" w:hAnsi="Calibri" w:cs="Calibri"/>
          <w:sz w:val="20"/>
          <w:szCs w:val="20"/>
        </w:rPr>
      </w:pPr>
    </w:p>
    <w:p w14:paraId="1F0058CF" w14:textId="77777777" w:rsidR="004A1DE7" w:rsidRPr="00AC03F5" w:rsidRDefault="004A1DE7" w:rsidP="004A1DE7">
      <w:pPr>
        <w:spacing w:after="0" w:line="240" w:lineRule="auto"/>
        <w:rPr>
          <w:rFonts w:ascii="Calibri" w:hAnsi="Calibri" w:cs="Calibri"/>
          <w:b/>
          <w:sz w:val="24"/>
          <w:szCs w:val="24"/>
        </w:rPr>
      </w:pPr>
      <w:r w:rsidRPr="00AC03F5">
        <w:rPr>
          <w:rFonts w:ascii="Calibri" w:hAnsi="Calibri" w:cs="Calibri"/>
          <w:b/>
          <w:sz w:val="24"/>
          <w:szCs w:val="24"/>
        </w:rPr>
        <w:t>Disclosure of Financial Relationships</w:t>
      </w:r>
    </w:p>
    <w:p w14:paraId="6B5BD306" w14:textId="77777777" w:rsidR="004A1DE7" w:rsidRPr="00AC03F5" w:rsidRDefault="004A1DE7" w:rsidP="004A1DE7">
      <w:pPr>
        <w:pStyle w:val="ListParagraph"/>
        <w:ind w:left="0"/>
        <w:rPr>
          <w:rFonts w:ascii="Calibri" w:hAnsi="Calibri" w:cs="Calibri"/>
          <w:color w:val="000000"/>
          <w:sz w:val="20"/>
          <w:szCs w:val="20"/>
        </w:rPr>
      </w:pPr>
      <w:r w:rsidRPr="00AC03F5">
        <w:rPr>
          <w:rFonts w:ascii="Calibri" w:hAnsi="Calibri" w:cs="Calibri"/>
          <w:color w:val="000000"/>
          <w:sz w:val="20"/>
          <w:szCs w:val="20"/>
        </w:rPr>
        <w:t xml:space="preserve">In accordance with the ACCME Standards for Integrity and Independence in Accredited Continuing Education, </w:t>
      </w:r>
      <w:r w:rsidRPr="00AC03F5">
        <w:rPr>
          <w:rFonts w:ascii="Calibri" w:hAnsi="Calibri" w:cs="Calibri"/>
          <w:b/>
          <w:bCs/>
          <w:color w:val="000000"/>
          <w:sz w:val="20"/>
          <w:szCs w:val="20"/>
        </w:rPr>
        <w:t>all</w:t>
      </w:r>
      <w:r w:rsidRPr="00AC03F5">
        <w:rPr>
          <w:rFonts w:ascii="Calibri" w:hAnsi="Calibri" w:cs="Calibri"/>
          <w:color w:val="000000"/>
          <w:sz w:val="20"/>
          <w:szCs w:val="20"/>
        </w:rPr>
        <w:t xml:space="preserve"> relevant financial relationships, </w:t>
      </w:r>
      <w:r w:rsidRPr="00AC03F5">
        <w:rPr>
          <w:rFonts w:ascii="Calibri" w:hAnsi="Calibri" w:cs="Calibri"/>
          <w:b/>
          <w:bCs/>
          <w:color w:val="000000"/>
          <w:sz w:val="20"/>
          <w:szCs w:val="20"/>
        </w:rPr>
        <w:t>and</w:t>
      </w:r>
      <w:r w:rsidRPr="00AC03F5">
        <w:rPr>
          <w:rFonts w:ascii="Calibri" w:hAnsi="Calibri" w:cs="Calibri"/>
          <w:color w:val="000000"/>
          <w:sz w:val="20"/>
          <w:szCs w:val="20"/>
        </w:rPr>
        <w:t xml:space="preserve"> the absence of relevant financial relationships, must be disclosed to learners for all individuals in control of content:</w:t>
      </w:r>
    </w:p>
    <w:p w14:paraId="3CBB7538" w14:textId="77777777" w:rsidR="004A1DE7" w:rsidRPr="00AC03F5" w:rsidRDefault="004A1DE7" w:rsidP="004A1DE7">
      <w:pPr>
        <w:pStyle w:val="ListParagraph"/>
        <w:numPr>
          <w:ilvl w:val="0"/>
          <w:numId w:val="2"/>
        </w:numPr>
        <w:rPr>
          <w:rFonts w:ascii="Calibri" w:hAnsi="Calibri" w:cs="Calibri"/>
          <w:color w:val="000000"/>
          <w:sz w:val="20"/>
          <w:szCs w:val="20"/>
        </w:rPr>
      </w:pPr>
      <w:r w:rsidRPr="00AC03F5">
        <w:rPr>
          <w:rFonts w:ascii="Calibri" w:hAnsi="Calibri" w:cs="Calibri"/>
          <w:color w:val="000000"/>
          <w:sz w:val="20"/>
          <w:szCs w:val="20"/>
        </w:rPr>
        <w:t>Before learners engage with the accredited education</w:t>
      </w:r>
    </w:p>
    <w:p w14:paraId="7E8CB417" w14:textId="77777777" w:rsidR="004A1DE7" w:rsidRPr="009E6E1F" w:rsidRDefault="004A1DE7" w:rsidP="004A1DE7">
      <w:pPr>
        <w:pStyle w:val="ListParagraph"/>
        <w:numPr>
          <w:ilvl w:val="0"/>
          <w:numId w:val="2"/>
        </w:numPr>
        <w:rPr>
          <w:rFonts w:ascii="Calibri" w:hAnsi="Calibri" w:cs="Calibri"/>
          <w:color w:val="000000"/>
          <w:sz w:val="20"/>
          <w:szCs w:val="20"/>
        </w:rPr>
      </w:pPr>
      <w:r w:rsidRPr="00AC03F5">
        <w:rPr>
          <w:rFonts w:ascii="Calibri" w:hAnsi="Calibri" w:cs="Calibri"/>
          <w:color w:val="000000"/>
          <w:sz w:val="20"/>
          <w:szCs w:val="20"/>
        </w:rPr>
        <w:t xml:space="preserve">In a format that can be verified at the time of accreditation </w:t>
      </w:r>
    </w:p>
    <w:p w14:paraId="76E5D2E2" w14:textId="77777777" w:rsidR="004A1DE7" w:rsidRPr="00AC03F5" w:rsidRDefault="004A1DE7" w:rsidP="004A1DE7">
      <w:pPr>
        <w:pStyle w:val="ListParagraph"/>
        <w:ind w:left="0"/>
        <w:rPr>
          <w:rFonts w:ascii="Calibri" w:hAnsi="Calibri" w:cs="Calibri"/>
          <w:sz w:val="20"/>
          <w:szCs w:val="20"/>
        </w:rPr>
      </w:pPr>
      <w:r w:rsidRPr="00AC03F5">
        <w:rPr>
          <w:rFonts w:ascii="Calibri" w:hAnsi="Calibri" w:cs="Calibri"/>
          <w:sz w:val="20"/>
          <w:szCs w:val="20"/>
        </w:rPr>
        <w:t>The following individuals have reported relationships with ineligible companies, as defined by the ACCME. These relationships, in the context of their involvement in the CME activity, could be perceived by some as a real or apparent conflict of interest. All relevant financial relationships have been mitigated to ensure that no commercial bias has been inserted into the educational content.</w:t>
      </w:r>
    </w:p>
    <w:tbl>
      <w:tblPr>
        <w:tblW w:w="5007" w:type="pct"/>
        <w:tblCellMar>
          <w:top w:w="15" w:type="dxa"/>
          <w:left w:w="15" w:type="dxa"/>
          <w:bottom w:w="15" w:type="dxa"/>
          <w:right w:w="15" w:type="dxa"/>
        </w:tblCellMar>
        <w:tblLook w:val="04A0" w:firstRow="1" w:lastRow="0" w:firstColumn="1" w:lastColumn="0" w:noHBand="0" w:noVBand="1"/>
      </w:tblPr>
      <w:tblGrid>
        <w:gridCol w:w="2341"/>
        <w:gridCol w:w="3779"/>
        <w:gridCol w:w="2932"/>
        <w:gridCol w:w="306"/>
        <w:gridCol w:w="15"/>
      </w:tblGrid>
      <w:tr w:rsidR="004A1DE7" w:rsidRPr="00664DDD" w14:paraId="12E1CBFF" w14:textId="77777777" w:rsidTr="00B2630F">
        <w:tc>
          <w:tcPr>
            <w:tcW w:w="1249" w:type="pct"/>
            <w:tcMar>
              <w:top w:w="150" w:type="dxa"/>
              <w:left w:w="150" w:type="dxa"/>
              <w:bottom w:w="150" w:type="dxa"/>
              <w:right w:w="150" w:type="dxa"/>
            </w:tcMar>
            <w:vAlign w:val="center"/>
            <w:hideMark/>
          </w:tcPr>
          <w:p w14:paraId="69D8241B" w14:textId="77777777" w:rsidR="004A1DE7" w:rsidRPr="00664DDD" w:rsidRDefault="004A1DE7" w:rsidP="00B2630F">
            <w:pPr>
              <w:spacing w:after="0" w:line="240" w:lineRule="auto"/>
              <w:jc w:val="center"/>
              <w:rPr>
                <w:rFonts w:ascii="Calibri" w:eastAsia="Times New Roman" w:hAnsi="Calibri" w:cs="Calibri"/>
                <w:b/>
                <w:bCs/>
                <w:color w:val="000000" w:themeColor="text1"/>
              </w:rPr>
            </w:pPr>
            <w:r w:rsidRPr="00664DDD">
              <w:rPr>
                <w:rFonts w:ascii="Calibri" w:hAnsi="Calibri" w:cs="Calibri"/>
              </w:rPr>
              <w:t xml:space="preserve"> </w:t>
            </w:r>
            <w:r w:rsidRPr="00664DDD">
              <w:rPr>
                <w:rFonts w:ascii="Calibri" w:eastAsia="Times New Roman" w:hAnsi="Calibri" w:cs="Calibri"/>
                <w:b/>
                <w:bCs/>
                <w:color w:val="000000" w:themeColor="text1"/>
              </w:rPr>
              <w:t>Individual</w:t>
            </w:r>
          </w:p>
        </w:tc>
        <w:tc>
          <w:tcPr>
            <w:tcW w:w="2016" w:type="pct"/>
            <w:tcMar>
              <w:top w:w="150" w:type="dxa"/>
              <w:left w:w="150" w:type="dxa"/>
              <w:bottom w:w="150" w:type="dxa"/>
              <w:right w:w="150" w:type="dxa"/>
            </w:tcMar>
            <w:vAlign w:val="center"/>
            <w:hideMark/>
          </w:tcPr>
          <w:p w14:paraId="23EE1154" w14:textId="77777777" w:rsidR="004A1DE7" w:rsidRPr="00664DDD" w:rsidRDefault="004A1DE7" w:rsidP="00B2630F">
            <w:pPr>
              <w:spacing w:after="0" w:line="240" w:lineRule="auto"/>
              <w:jc w:val="center"/>
              <w:rPr>
                <w:rFonts w:ascii="Calibri" w:eastAsia="Times New Roman" w:hAnsi="Calibri" w:cs="Calibri"/>
                <w:b/>
                <w:bCs/>
                <w:color w:val="000000" w:themeColor="text1"/>
              </w:rPr>
            </w:pPr>
            <w:r w:rsidRPr="00664DDD">
              <w:rPr>
                <w:rFonts w:ascii="Calibri" w:eastAsia="Times New Roman" w:hAnsi="Calibri" w:cs="Calibri"/>
                <w:b/>
                <w:bCs/>
                <w:color w:val="000000" w:themeColor="text1"/>
              </w:rPr>
              <w:t>Company Name</w:t>
            </w:r>
          </w:p>
        </w:tc>
        <w:tc>
          <w:tcPr>
            <w:tcW w:w="1564" w:type="pct"/>
            <w:tcMar>
              <w:top w:w="150" w:type="dxa"/>
              <w:left w:w="150" w:type="dxa"/>
              <w:bottom w:w="150" w:type="dxa"/>
              <w:right w:w="150" w:type="dxa"/>
            </w:tcMar>
            <w:vAlign w:val="center"/>
            <w:hideMark/>
          </w:tcPr>
          <w:p w14:paraId="7F1B7E1B" w14:textId="77777777" w:rsidR="004A1DE7" w:rsidRPr="00664DDD" w:rsidRDefault="004A1DE7" w:rsidP="00B2630F">
            <w:pPr>
              <w:spacing w:after="0" w:line="240" w:lineRule="auto"/>
              <w:jc w:val="center"/>
              <w:rPr>
                <w:rFonts w:ascii="Calibri" w:eastAsia="Times New Roman" w:hAnsi="Calibri" w:cs="Calibri"/>
                <w:b/>
                <w:bCs/>
                <w:color w:val="000000" w:themeColor="text1"/>
              </w:rPr>
            </w:pPr>
            <w:r w:rsidRPr="00664DDD">
              <w:rPr>
                <w:rFonts w:ascii="Calibri" w:eastAsia="Times New Roman" w:hAnsi="Calibri" w:cs="Calibri"/>
                <w:b/>
                <w:bCs/>
                <w:color w:val="000000" w:themeColor="text1"/>
              </w:rPr>
              <w:t>Type of Relationship</w:t>
            </w:r>
          </w:p>
        </w:tc>
        <w:tc>
          <w:tcPr>
            <w:tcW w:w="171" w:type="pct"/>
            <w:gridSpan w:val="2"/>
            <w:tcMar>
              <w:top w:w="150" w:type="dxa"/>
              <w:left w:w="150" w:type="dxa"/>
              <w:bottom w:w="150" w:type="dxa"/>
              <w:right w:w="150" w:type="dxa"/>
            </w:tcMar>
            <w:vAlign w:val="center"/>
            <w:hideMark/>
          </w:tcPr>
          <w:p w14:paraId="5CC1D3A8" w14:textId="77777777" w:rsidR="004A1DE7" w:rsidRPr="00664DDD" w:rsidRDefault="004A1DE7" w:rsidP="00B2630F">
            <w:pPr>
              <w:spacing w:after="0" w:line="240" w:lineRule="auto"/>
              <w:jc w:val="center"/>
              <w:rPr>
                <w:rFonts w:ascii="Calibri" w:eastAsia="Times New Roman" w:hAnsi="Calibri" w:cs="Calibri"/>
                <w:b/>
                <w:bCs/>
                <w:color w:val="000000" w:themeColor="text1"/>
              </w:rPr>
            </w:pPr>
          </w:p>
        </w:tc>
      </w:tr>
      <w:tr w:rsidR="004A1DE7" w:rsidRPr="00664DDD" w14:paraId="7F672AE1" w14:textId="77777777" w:rsidTr="00B2630F">
        <w:trPr>
          <w:gridAfter w:val="1"/>
          <w:wAfter w:w="8" w:type="pct"/>
        </w:trPr>
        <w:tc>
          <w:tcPr>
            <w:tcW w:w="1249" w:type="pct"/>
            <w:vAlign w:val="center"/>
          </w:tcPr>
          <w:p w14:paraId="7B5BA1B1" w14:textId="77777777" w:rsidR="004A1DE7" w:rsidRPr="00664DDD" w:rsidRDefault="004A1DE7" w:rsidP="00B2630F">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Peter Pang MD, FACEP</w:t>
            </w:r>
          </w:p>
        </w:tc>
        <w:tc>
          <w:tcPr>
            <w:tcW w:w="2016" w:type="pct"/>
            <w:vAlign w:val="center"/>
          </w:tcPr>
          <w:p w14:paraId="0556FC04" w14:textId="77777777" w:rsidR="004A1DE7" w:rsidRPr="009E6E1F" w:rsidRDefault="004A1DE7" w:rsidP="00B2630F">
            <w:pPr>
              <w:spacing w:after="0" w:line="240" w:lineRule="auto"/>
              <w:rPr>
                <w:rFonts w:eastAsia="Times New Roman" w:cstheme="minorHAnsi"/>
                <w:color w:val="000000" w:themeColor="text1"/>
              </w:rPr>
            </w:pPr>
            <w:r w:rsidRPr="009E6E1F">
              <w:rPr>
                <w:rFonts w:eastAsia="Times New Roman" w:cstheme="minorHAnsi"/>
                <w:color w:val="666666"/>
                <w:sz w:val="19"/>
                <w:szCs w:val="19"/>
              </w:rPr>
              <w:t xml:space="preserve">Janssen, Medtronic, </w:t>
            </w:r>
            <w:proofErr w:type="spellStart"/>
            <w:r w:rsidRPr="009E6E1F">
              <w:rPr>
                <w:rFonts w:eastAsia="Times New Roman" w:cstheme="minorHAnsi"/>
                <w:color w:val="666666"/>
                <w:sz w:val="19"/>
                <w:szCs w:val="19"/>
              </w:rPr>
              <w:t>scPharmaceuticals</w:t>
            </w:r>
            <w:proofErr w:type="spellEnd"/>
            <w:r w:rsidRPr="009E6E1F">
              <w:rPr>
                <w:rFonts w:eastAsia="Times New Roman" w:cstheme="minorHAnsi"/>
                <w:color w:val="666666"/>
                <w:sz w:val="19"/>
                <w:szCs w:val="19"/>
              </w:rPr>
              <w:t xml:space="preserve">, </w:t>
            </w:r>
            <w:proofErr w:type="spellStart"/>
            <w:r w:rsidRPr="009E6E1F">
              <w:rPr>
                <w:rFonts w:eastAsia="Times New Roman" w:cstheme="minorHAnsi"/>
                <w:color w:val="666666"/>
                <w:sz w:val="19"/>
                <w:szCs w:val="19"/>
              </w:rPr>
              <w:t>Cardioxyl</w:t>
            </w:r>
            <w:proofErr w:type="spellEnd"/>
            <w:r w:rsidRPr="009E6E1F">
              <w:rPr>
                <w:rFonts w:eastAsia="Times New Roman" w:cstheme="minorHAnsi"/>
                <w:color w:val="666666"/>
                <w:sz w:val="19"/>
                <w:szCs w:val="19"/>
              </w:rPr>
              <w:t xml:space="preserve">, Roche Diagnostics, </w:t>
            </w:r>
            <w:proofErr w:type="spellStart"/>
            <w:r w:rsidRPr="009E6E1F">
              <w:rPr>
                <w:rFonts w:eastAsia="Times New Roman" w:cstheme="minorHAnsi"/>
                <w:color w:val="666666"/>
                <w:sz w:val="19"/>
                <w:szCs w:val="19"/>
              </w:rPr>
              <w:t>Relypsa</w:t>
            </w:r>
            <w:proofErr w:type="spellEnd"/>
            <w:r w:rsidRPr="009E6E1F">
              <w:rPr>
                <w:rFonts w:eastAsia="Times New Roman" w:cstheme="minorHAnsi"/>
                <w:color w:val="666666"/>
                <w:sz w:val="19"/>
                <w:szCs w:val="19"/>
              </w:rPr>
              <w:t>, Trevena, Novartis</w:t>
            </w:r>
          </w:p>
        </w:tc>
        <w:tc>
          <w:tcPr>
            <w:tcW w:w="1564" w:type="pct"/>
            <w:vAlign w:val="center"/>
          </w:tcPr>
          <w:p w14:paraId="750ECA8A" w14:textId="77777777" w:rsidR="004A1DE7" w:rsidRPr="00664DDD" w:rsidRDefault="004A1DE7" w:rsidP="00B2630F">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Consulting Fees</w:t>
            </w:r>
          </w:p>
        </w:tc>
        <w:tc>
          <w:tcPr>
            <w:tcW w:w="163" w:type="pct"/>
            <w:vAlign w:val="center"/>
          </w:tcPr>
          <w:p w14:paraId="537D0CF6" w14:textId="77777777" w:rsidR="004A1DE7" w:rsidRPr="00664DDD" w:rsidRDefault="004A1DE7" w:rsidP="00B2630F">
            <w:pPr>
              <w:spacing w:after="0" w:line="240" w:lineRule="auto"/>
              <w:rPr>
                <w:rFonts w:ascii="Calibri" w:eastAsia="Times New Roman" w:hAnsi="Calibri" w:cs="Calibri"/>
                <w:color w:val="000000" w:themeColor="text1"/>
              </w:rPr>
            </w:pPr>
          </w:p>
        </w:tc>
      </w:tr>
      <w:tr w:rsidR="004A1DE7" w:rsidRPr="00664DDD" w14:paraId="69C29FA7" w14:textId="77777777" w:rsidTr="00B2630F">
        <w:trPr>
          <w:gridAfter w:val="1"/>
          <w:wAfter w:w="8" w:type="pct"/>
        </w:trPr>
        <w:tc>
          <w:tcPr>
            <w:tcW w:w="1249" w:type="pct"/>
            <w:vAlign w:val="center"/>
          </w:tcPr>
          <w:p w14:paraId="33E5010F" w14:textId="77777777" w:rsidR="004A1DE7" w:rsidRPr="00664DDD" w:rsidRDefault="004A1DE7" w:rsidP="00B2630F">
            <w:pPr>
              <w:spacing w:after="0" w:line="240" w:lineRule="auto"/>
              <w:rPr>
                <w:rFonts w:ascii="Calibri" w:eastAsia="Times New Roman" w:hAnsi="Calibri" w:cs="Calibri"/>
                <w:color w:val="000000" w:themeColor="text1"/>
              </w:rPr>
            </w:pPr>
          </w:p>
        </w:tc>
        <w:tc>
          <w:tcPr>
            <w:tcW w:w="2016" w:type="pct"/>
            <w:vAlign w:val="center"/>
          </w:tcPr>
          <w:p w14:paraId="73667815" w14:textId="77777777" w:rsidR="004A1DE7" w:rsidRPr="00664DDD" w:rsidRDefault="004A1DE7" w:rsidP="00B2630F">
            <w:pPr>
              <w:spacing w:after="0" w:line="240" w:lineRule="auto"/>
              <w:rPr>
                <w:rFonts w:ascii="Calibri" w:eastAsia="Times New Roman" w:hAnsi="Calibri" w:cs="Calibri"/>
                <w:color w:val="000000" w:themeColor="text1"/>
              </w:rPr>
            </w:pPr>
          </w:p>
        </w:tc>
        <w:tc>
          <w:tcPr>
            <w:tcW w:w="1564" w:type="pct"/>
            <w:vAlign w:val="center"/>
          </w:tcPr>
          <w:p w14:paraId="3D19C374" w14:textId="77777777" w:rsidR="004A1DE7" w:rsidRPr="00664DDD" w:rsidRDefault="004A1DE7" w:rsidP="00B2630F">
            <w:pPr>
              <w:spacing w:after="0" w:line="240" w:lineRule="auto"/>
              <w:rPr>
                <w:rFonts w:ascii="Calibri" w:eastAsia="Times New Roman" w:hAnsi="Calibri" w:cs="Calibri"/>
                <w:color w:val="000000" w:themeColor="text1"/>
              </w:rPr>
            </w:pPr>
          </w:p>
        </w:tc>
        <w:tc>
          <w:tcPr>
            <w:tcW w:w="163" w:type="pct"/>
            <w:vAlign w:val="center"/>
          </w:tcPr>
          <w:p w14:paraId="206BFC81" w14:textId="77777777" w:rsidR="004A1DE7" w:rsidRPr="00664DDD" w:rsidRDefault="004A1DE7" w:rsidP="00B2630F">
            <w:pPr>
              <w:spacing w:after="0" w:line="240" w:lineRule="auto"/>
              <w:rPr>
                <w:rFonts w:ascii="Calibri" w:eastAsia="Times New Roman" w:hAnsi="Calibri" w:cs="Calibri"/>
                <w:color w:val="000000" w:themeColor="text1"/>
              </w:rPr>
            </w:pPr>
          </w:p>
        </w:tc>
      </w:tr>
      <w:tr w:rsidR="004A1DE7" w:rsidRPr="00664DDD" w14:paraId="49E5844A" w14:textId="77777777" w:rsidTr="00B2630F">
        <w:trPr>
          <w:gridAfter w:val="1"/>
          <w:wAfter w:w="8" w:type="pct"/>
        </w:trPr>
        <w:tc>
          <w:tcPr>
            <w:tcW w:w="1249" w:type="pct"/>
            <w:vAlign w:val="center"/>
          </w:tcPr>
          <w:p w14:paraId="6A73ABBF" w14:textId="77777777" w:rsidR="004A1DE7" w:rsidRPr="00664DDD" w:rsidRDefault="004A1DE7" w:rsidP="00B2630F">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Peter Pang MD, FACEP</w:t>
            </w:r>
          </w:p>
        </w:tc>
        <w:tc>
          <w:tcPr>
            <w:tcW w:w="2016" w:type="pct"/>
          </w:tcPr>
          <w:p w14:paraId="7290B5AB" w14:textId="77777777" w:rsidR="004A1DE7" w:rsidRPr="009E6E1F" w:rsidRDefault="004A1DE7" w:rsidP="00B2630F">
            <w:pPr>
              <w:spacing w:after="0" w:line="240" w:lineRule="auto"/>
              <w:rPr>
                <w:rFonts w:eastAsia="Times New Roman" w:cstheme="minorHAnsi"/>
                <w:color w:val="000000" w:themeColor="text1"/>
              </w:rPr>
            </w:pPr>
            <w:r w:rsidRPr="009E6E1F">
              <w:rPr>
                <w:rFonts w:eastAsia="Times New Roman" w:cstheme="minorHAnsi"/>
                <w:color w:val="666666"/>
                <w:sz w:val="19"/>
                <w:szCs w:val="19"/>
              </w:rPr>
              <w:t xml:space="preserve">Novartis, Roche,, </w:t>
            </w:r>
            <w:proofErr w:type="spellStart"/>
            <w:r w:rsidRPr="009E6E1F">
              <w:rPr>
                <w:rFonts w:eastAsia="Times New Roman" w:cstheme="minorHAnsi"/>
                <w:color w:val="666666"/>
                <w:sz w:val="19"/>
                <w:szCs w:val="19"/>
              </w:rPr>
              <w:t>OrthoDiagnostics</w:t>
            </w:r>
            <w:proofErr w:type="spellEnd"/>
            <w:r w:rsidRPr="009E6E1F">
              <w:rPr>
                <w:rFonts w:eastAsia="Times New Roman" w:cstheme="minorHAnsi"/>
                <w:color w:val="666666"/>
                <w:sz w:val="19"/>
                <w:szCs w:val="19"/>
              </w:rPr>
              <w:t>, Abbott</w:t>
            </w:r>
          </w:p>
        </w:tc>
        <w:tc>
          <w:tcPr>
            <w:tcW w:w="1564" w:type="pct"/>
            <w:vAlign w:val="center"/>
          </w:tcPr>
          <w:p w14:paraId="349667EB" w14:textId="77777777" w:rsidR="004A1DE7" w:rsidRPr="00664DDD" w:rsidRDefault="004A1DE7" w:rsidP="00B2630F">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Contracted Research</w:t>
            </w:r>
          </w:p>
        </w:tc>
        <w:tc>
          <w:tcPr>
            <w:tcW w:w="163" w:type="pct"/>
            <w:vAlign w:val="center"/>
          </w:tcPr>
          <w:p w14:paraId="091D7386" w14:textId="77777777" w:rsidR="004A1DE7" w:rsidRPr="00664DDD" w:rsidRDefault="004A1DE7" w:rsidP="00B2630F">
            <w:pPr>
              <w:spacing w:after="0" w:line="240" w:lineRule="auto"/>
              <w:rPr>
                <w:rFonts w:ascii="Calibri" w:eastAsia="Times New Roman" w:hAnsi="Calibri" w:cs="Calibri"/>
                <w:color w:val="000000" w:themeColor="text1"/>
              </w:rPr>
            </w:pPr>
          </w:p>
        </w:tc>
      </w:tr>
      <w:tr w:rsidR="004A1DE7" w:rsidRPr="00664DDD" w14:paraId="4F49D779" w14:textId="77777777" w:rsidTr="00B2630F">
        <w:trPr>
          <w:gridAfter w:val="1"/>
          <w:wAfter w:w="8" w:type="pct"/>
        </w:trPr>
        <w:tc>
          <w:tcPr>
            <w:tcW w:w="1249" w:type="pct"/>
            <w:vAlign w:val="center"/>
          </w:tcPr>
          <w:p w14:paraId="0510F5F6" w14:textId="77777777" w:rsidR="004A1DE7" w:rsidRDefault="004A1DE7" w:rsidP="00B2630F">
            <w:pPr>
              <w:spacing w:after="0" w:line="240" w:lineRule="auto"/>
              <w:rPr>
                <w:rFonts w:ascii="Calibri" w:eastAsia="Times New Roman" w:hAnsi="Calibri" w:cs="Calibri"/>
                <w:color w:val="000000" w:themeColor="text1"/>
              </w:rPr>
            </w:pPr>
          </w:p>
        </w:tc>
        <w:tc>
          <w:tcPr>
            <w:tcW w:w="2016" w:type="pct"/>
          </w:tcPr>
          <w:p w14:paraId="76B88122" w14:textId="77777777" w:rsidR="004A1DE7" w:rsidRPr="004D1B39" w:rsidRDefault="004A1DE7" w:rsidP="00B2630F">
            <w:pPr>
              <w:spacing w:after="0" w:line="240" w:lineRule="auto"/>
              <w:rPr>
                <w:rFonts w:ascii="Times New Roman" w:eastAsia="Times New Roman" w:hAnsi="Times New Roman" w:cs="Times New Roman"/>
                <w:color w:val="666666"/>
                <w:sz w:val="19"/>
                <w:szCs w:val="19"/>
              </w:rPr>
            </w:pPr>
          </w:p>
        </w:tc>
        <w:tc>
          <w:tcPr>
            <w:tcW w:w="1564" w:type="pct"/>
            <w:vAlign w:val="center"/>
          </w:tcPr>
          <w:p w14:paraId="1F3ED9FC" w14:textId="77777777" w:rsidR="004A1DE7" w:rsidRDefault="004A1DE7" w:rsidP="00B2630F">
            <w:pPr>
              <w:spacing w:after="0" w:line="240" w:lineRule="auto"/>
              <w:rPr>
                <w:rFonts w:ascii="Calibri" w:eastAsia="Times New Roman" w:hAnsi="Calibri" w:cs="Calibri"/>
                <w:color w:val="000000" w:themeColor="text1"/>
              </w:rPr>
            </w:pPr>
          </w:p>
        </w:tc>
        <w:tc>
          <w:tcPr>
            <w:tcW w:w="163" w:type="pct"/>
            <w:vAlign w:val="center"/>
          </w:tcPr>
          <w:p w14:paraId="493D49ED" w14:textId="77777777" w:rsidR="004A1DE7" w:rsidRPr="00664DDD" w:rsidRDefault="004A1DE7" w:rsidP="00B2630F">
            <w:pPr>
              <w:spacing w:after="0" w:line="240" w:lineRule="auto"/>
              <w:rPr>
                <w:rFonts w:ascii="Calibri" w:eastAsia="Times New Roman" w:hAnsi="Calibri" w:cs="Calibri"/>
                <w:color w:val="000000" w:themeColor="text1"/>
              </w:rPr>
            </w:pPr>
          </w:p>
        </w:tc>
      </w:tr>
      <w:tr w:rsidR="004A1DE7" w:rsidRPr="00664DDD" w14:paraId="716D50A7" w14:textId="77777777" w:rsidTr="00B2630F">
        <w:trPr>
          <w:gridAfter w:val="1"/>
          <w:wAfter w:w="8" w:type="pct"/>
        </w:trPr>
        <w:tc>
          <w:tcPr>
            <w:tcW w:w="1249" w:type="pct"/>
            <w:vAlign w:val="center"/>
          </w:tcPr>
          <w:p w14:paraId="5EDC16A5" w14:textId="77777777" w:rsidR="004A1DE7" w:rsidRDefault="004A1DE7" w:rsidP="00B2630F">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Ryan Stanton MD, FACEP</w:t>
            </w:r>
          </w:p>
        </w:tc>
        <w:tc>
          <w:tcPr>
            <w:tcW w:w="2016" w:type="pct"/>
          </w:tcPr>
          <w:p w14:paraId="3C5DA20A" w14:textId="77777777" w:rsidR="004A1DE7" w:rsidRPr="009E6E1F" w:rsidRDefault="004A1DE7" w:rsidP="00B2630F">
            <w:pPr>
              <w:spacing w:after="0" w:line="240" w:lineRule="auto"/>
              <w:rPr>
                <w:rFonts w:ascii="Calibri" w:eastAsia="Times New Roman" w:hAnsi="Calibri" w:cs="Calibri"/>
                <w:color w:val="666666"/>
                <w:sz w:val="19"/>
                <w:szCs w:val="19"/>
              </w:rPr>
            </w:pPr>
            <w:r w:rsidRPr="009E6E1F">
              <w:rPr>
                <w:rFonts w:ascii="Calibri" w:eastAsia="Times New Roman" w:hAnsi="Calibri" w:cs="Calibri"/>
                <w:color w:val="666666"/>
                <w:sz w:val="19"/>
                <w:szCs w:val="19"/>
              </w:rPr>
              <w:t>Teleflex</w:t>
            </w:r>
          </w:p>
        </w:tc>
        <w:tc>
          <w:tcPr>
            <w:tcW w:w="1564" w:type="pct"/>
            <w:vAlign w:val="center"/>
          </w:tcPr>
          <w:p w14:paraId="6F1E3B43" w14:textId="77777777" w:rsidR="004A1DE7" w:rsidRPr="009E6E1F" w:rsidRDefault="004A1DE7" w:rsidP="00B2630F">
            <w:pPr>
              <w:spacing w:after="0" w:line="240" w:lineRule="auto"/>
              <w:rPr>
                <w:rFonts w:eastAsia="Times New Roman" w:cstheme="minorHAnsi"/>
                <w:color w:val="000000" w:themeColor="text1"/>
              </w:rPr>
            </w:pPr>
            <w:r w:rsidRPr="009E6E1F">
              <w:rPr>
                <w:rFonts w:eastAsia="Times New Roman" w:cstheme="minorHAnsi"/>
                <w:color w:val="666666"/>
                <w:sz w:val="19"/>
                <w:szCs w:val="19"/>
              </w:rPr>
              <w:t>Fees for Non-CME Services Received Directly from Commercial Interest or their Agents</w:t>
            </w:r>
          </w:p>
        </w:tc>
        <w:tc>
          <w:tcPr>
            <w:tcW w:w="163" w:type="pct"/>
            <w:vAlign w:val="center"/>
          </w:tcPr>
          <w:p w14:paraId="75D46D2D" w14:textId="77777777" w:rsidR="004A1DE7" w:rsidRPr="00664DDD" w:rsidRDefault="004A1DE7" w:rsidP="00B2630F">
            <w:pPr>
              <w:spacing w:after="0" w:line="240" w:lineRule="auto"/>
              <w:rPr>
                <w:rFonts w:ascii="Calibri" w:eastAsia="Times New Roman" w:hAnsi="Calibri" w:cs="Calibri"/>
                <w:color w:val="000000" w:themeColor="text1"/>
              </w:rPr>
            </w:pPr>
          </w:p>
        </w:tc>
      </w:tr>
      <w:tr w:rsidR="004A1DE7" w:rsidRPr="00664DDD" w14:paraId="7FE4AACA" w14:textId="77777777" w:rsidTr="00B2630F">
        <w:trPr>
          <w:gridAfter w:val="1"/>
          <w:wAfter w:w="8" w:type="pct"/>
        </w:trPr>
        <w:tc>
          <w:tcPr>
            <w:tcW w:w="1249" w:type="pct"/>
            <w:vAlign w:val="center"/>
          </w:tcPr>
          <w:p w14:paraId="09BC19DF" w14:textId="77777777" w:rsidR="004A1DE7" w:rsidRDefault="004A1DE7" w:rsidP="00B2630F">
            <w:pPr>
              <w:spacing w:after="0" w:line="240" w:lineRule="auto"/>
              <w:rPr>
                <w:rFonts w:ascii="Calibri" w:eastAsia="Times New Roman" w:hAnsi="Calibri" w:cs="Calibri"/>
                <w:color w:val="000000" w:themeColor="text1"/>
              </w:rPr>
            </w:pPr>
          </w:p>
        </w:tc>
        <w:tc>
          <w:tcPr>
            <w:tcW w:w="2016" w:type="pct"/>
          </w:tcPr>
          <w:p w14:paraId="10393597" w14:textId="77777777" w:rsidR="004A1DE7" w:rsidRPr="004D1B39" w:rsidRDefault="004A1DE7" w:rsidP="00B2630F">
            <w:pPr>
              <w:spacing w:after="0" w:line="240" w:lineRule="auto"/>
              <w:rPr>
                <w:rFonts w:ascii="Times New Roman" w:eastAsia="Times New Roman" w:hAnsi="Times New Roman" w:cs="Times New Roman"/>
                <w:color w:val="666666"/>
                <w:sz w:val="19"/>
                <w:szCs w:val="19"/>
              </w:rPr>
            </w:pPr>
          </w:p>
        </w:tc>
        <w:tc>
          <w:tcPr>
            <w:tcW w:w="1564" w:type="pct"/>
            <w:vAlign w:val="center"/>
          </w:tcPr>
          <w:p w14:paraId="7DC99075" w14:textId="77777777" w:rsidR="004A1DE7" w:rsidRPr="005A07B0" w:rsidRDefault="004A1DE7" w:rsidP="00B2630F">
            <w:pPr>
              <w:spacing w:after="0" w:line="240" w:lineRule="auto"/>
              <w:rPr>
                <w:rFonts w:ascii="Times New Roman" w:eastAsia="Times New Roman" w:hAnsi="Times New Roman" w:cs="Times New Roman"/>
                <w:color w:val="666666"/>
                <w:sz w:val="19"/>
                <w:szCs w:val="19"/>
              </w:rPr>
            </w:pPr>
          </w:p>
        </w:tc>
        <w:tc>
          <w:tcPr>
            <w:tcW w:w="163" w:type="pct"/>
            <w:vAlign w:val="center"/>
          </w:tcPr>
          <w:p w14:paraId="38B7D7F5" w14:textId="77777777" w:rsidR="004A1DE7" w:rsidRPr="00664DDD" w:rsidRDefault="004A1DE7" w:rsidP="00B2630F">
            <w:pPr>
              <w:spacing w:after="0" w:line="240" w:lineRule="auto"/>
              <w:rPr>
                <w:rFonts w:ascii="Calibri" w:eastAsia="Times New Roman" w:hAnsi="Calibri" w:cs="Calibri"/>
                <w:color w:val="000000" w:themeColor="text1"/>
              </w:rPr>
            </w:pPr>
          </w:p>
        </w:tc>
      </w:tr>
      <w:tr w:rsidR="004A1DE7" w:rsidRPr="00664DDD" w14:paraId="64EF5B73" w14:textId="77777777" w:rsidTr="00B2630F">
        <w:trPr>
          <w:gridAfter w:val="1"/>
          <w:wAfter w:w="8" w:type="pct"/>
        </w:trPr>
        <w:tc>
          <w:tcPr>
            <w:tcW w:w="1249" w:type="pct"/>
            <w:vAlign w:val="center"/>
          </w:tcPr>
          <w:p w14:paraId="027910F5" w14:textId="77777777" w:rsidR="004A1DE7" w:rsidRDefault="004A1DE7" w:rsidP="00B2630F">
            <w:pPr>
              <w:spacing w:after="0" w:line="240" w:lineRule="auto"/>
              <w:rPr>
                <w:rFonts w:ascii="Calibri" w:eastAsia="Times New Roman" w:hAnsi="Calibri" w:cs="Calibri"/>
                <w:color w:val="000000" w:themeColor="text1"/>
              </w:rPr>
            </w:pPr>
          </w:p>
        </w:tc>
        <w:tc>
          <w:tcPr>
            <w:tcW w:w="2016" w:type="pct"/>
          </w:tcPr>
          <w:p w14:paraId="798C26FF" w14:textId="77777777" w:rsidR="004A1DE7" w:rsidRPr="009E6E1F" w:rsidRDefault="004A1DE7" w:rsidP="00B2630F">
            <w:pPr>
              <w:spacing w:after="0" w:line="240" w:lineRule="auto"/>
              <w:rPr>
                <w:rFonts w:eastAsia="Times New Roman" w:cstheme="minorHAnsi"/>
                <w:color w:val="666666"/>
                <w:sz w:val="19"/>
                <w:szCs w:val="19"/>
              </w:rPr>
            </w:pPr>
          </w:p>
        </w:tc>
        <w:tc>
          <w:tcPr>
            <w:tcW w:w="1564" w:type="pct"/>
            <w:vAlign w:val="center"/>
          </w:tcPr>
          <w:p w14:paraId="10C0F3FC" w14:textId="77777777" w:rsidR="004A1DE7" w:rsidRPr="009E6E1F" w:rsidRDefault="004A1DE7" w:rsidP="00B2630F">
            <w:pPr>
              <w:spacing w:after="0" w:line="240" w:lineRule="auto"/>
              <w:rPr>
                <w:rFonts w:eastAsia="Times New Roman" w:cstheme="minorHAnsi"/>
                <w:color w:val="666666"/>
                <w:sz w:val="19"/>
                <w:szCs w:val="19"/>
              </w:rPr>
            </w:pPr>
          </w:p>
        </w:tc>
        <w:tc>
          <w:tcPr>
            <w:tcW w:w="163" w:type="pct"/>
            <w:vAlign w:val="center"/>
          </w:tcPr>
          <w:p w14:paraId="555CD1F4" w14:textId="77777777" w:rsidR="004A1DE7" w:rsidRPr="00664DDD" w:rsidRDefault="004A1DE7" w:rsidP="00B2630F">
            <w:pPr>
              <w:spacing w:after="0" w:line="240" w:lineRule="auto"/>
              <w:rPr>
                <w:rFonts w:ascii="Calibri" w:eastAsia="Times New Roman" w:hAnsi="Calibri" w:cs="Calibri"/>
                <w:color w:val="000000" w:themeColor="text1"/>
              </w:rPr>
            </w:pPr>
          </w:p>
        </w:tc>
      </w:tr>
    </w:tbl>
    <w:p w14:paraId="4D943480" w14:textId="77777777" w:rsidR="004A1DE7" w:rsidRPr="00664DDD" w:rsidRDefault="004A1DE7" w:rsidP="004A1DE7">
      <w:pPr>
        <w:spacing w:after="0" w:line="240" w:lineRule="auto"/>
        <w:rPr>
          <w:rFonts w:ascii="Calibri" w:hAnsi="Calibri" w:cs="Calibri"/>
        </w:rPr>
      </w:pPr>
      <w:r w:rsidRPr="00664DDD">
        <w:rPr>
          <w:rFonts w:ascii="Calibri" w:hAnsi="Calibri" w:cs="Calibri"/>
          <w:color w:val="000000"/>
        </w:rPr>
        <w:t xml:space="preserve">All remaining individuals with control over content </w:t>
      </w:r>
      <w:r w:rsidRPr="00664DDD">
        <w:rPr>
          <w:rFonts w:ascii="Calibri" w:hAnsi="Calibri" w:cs="Calibri"/>
        </w:rPr>
        <w:t>have no relevant financial relationships to disclose.</w:t>
      </w:r>
    </w:p>
    <w:p w14:paraId="49AEF7A7" w14:textId="77777777" w:rsidR="004A1DE7" w:rsidRPr="009E6E1F" w:rsidRDefault="004A1DE7" w:rsidP="004A1DE7">
      <w:pPr>
        <w:spacing w:after="0" w:line="240" w:lineRule="auto"/>
        <w:rPr>
          <w:rFonts w:ascii="Calibri" w:hAnsi="Calibri" w:cs="Calibri"/>
          <w:b/>
          <w:sz w:val="8"/>
          <w:szCs w:val="8"/>
        </w:rPr>
      </w:pPr>
    </w:p>
    <w:p w14:paraId="585FA3BF" w14:textId="77777777" w:rsidR="004A1DE7" w:rsidRPr="00664DDD" w:rsidRDefault="004A1DE7" w:rsidP="004A1DE7">
      <w:pPr>
        <w:spacing w:after="0" w:line="240" w:lineRule="auto"/>
        <w:rPr>
          <w:rFonts w:ascii="Calibri" w:hAnsi="Calibri" w:cs="Calibri"/>
          <w:sz w:val="28"/>
          <w:szCs w:val="28"/>
        </w:rPr>
      </w:pPr>
      <w:r w:rsidRPr="00664DDD">
        <w:rPr>
          <w:rFonts w:ascii="Calibri" w:hAnsi="Calibri" w:cs="Calibri"/>
          <w:b/>
          <w:sz w:val="28"/>
          <w:szCs w:val="28"/>
        </w:rPr>
        <w:t>Disclosure of Commercial support</w:t>
      </w:r>
    </w:p>
    <w:p w14:paraId="6819CDAC" w14:textId="77777777" w:rsidR="004A1DE7" w:rsidRDefault="004A1DE7" w:rsidP="004A1DE7">
      <w:pPr>
        <w:spacing w:after="0" w:line="240" w:lineRule="auto"/>
        <w:rPr>
          <w:rFonts w:ascii="Calibri" w:hAnsi="Calibri" w:cs="Calibri"/>
        </w:rPr>
      </w:pPr>
      <w:r w:rsidRPr="00664DDD">
        <w:rPr>
          <w:rFonts w:ascii="Calibri" w:hAnsi="Calibri" w:cs="Calibri"/>
          <w:color w:val="000000"/>
        </w:rPr>
        <w:t xml:space="preserve">In accordance with the Standards for Integrity and Independence in Accredited Continuing Education, the </w:t>
      </w:r>
      <w:r w:rsidRPr="00664DDD">
        <w:rPr>
          <w:rFonts w:ascii="Calibri" w:hAnsi="Calibri" w:cs="Calibri"/>
        </w:rPr>
        <w:t>source of all support OR lack of support from ineligible companies, as defined by the ACCME (including “in-kind” support), must also be disclosed to learners prior to engaging with accredited content.</w:t>
      </w:r>
    </w:p>
    <w:p w14:paraId="40F41FEB" w14:textId="77777777" w:rsidR="004A1DE7" w:rsidRPr="009E6E1F" w:rsidRDefault="004A1DE7" w:rsidP="004A1DE7">
      <w:pPr>
        <w:spacing w:after="0" w:line="240" w:lineRule="auto"/>
        <w:rPr>
          <w:rFonts w:ascii="Calibri" w:hAnsi="Calibri" w:cs="Calibri"/>
          <w:bCs/>
          <w:sz w:val="8"/>
          <w:szCs w:val="8"/>
        </w:rPr>
      </w:pPr>
    </w:p>
    <w:p w14:paraId="70794B71" w14:textId="77777777" w:rsidR="00D0284A" w:rsidRDefault="004A1DE7" w:rsidP="004A1DE7">
      <w:pPr>
        <w:spacing w:after="0" w:line="240" w:lineRule="auto"/>
      </w:pPr>
      <w:r w:rsidRPr="00734D60">
        <w:rPr>
          <w:rFonts w:ascii="Calibri" w:hAnsi="Calibri" w:cs="Calibri"/>
          <w:bCs/>
        </w:rPr>
        <w:t>No commercial support was received</w:t>
      </w:r>
      <w:r>
        <w:rPr>
          <w:rFonts w:ascii="Calibri" w:hAnsi="Calibri" w:cs="Calibri"/>
          <w:bCs/>
        </w:rPr>
        <w:t xml:space="preserve"> for this activity.</w:t>
      </w:r>
      <w:r w:rsidRPr="004A1DE7">
        <w:rPr>
          <w:rFonts w:ascii="Calibri" w:hAnsi="Calibri" w:cs="Calibri"/>
          <w:sz w:val="20"/>
          <w:szCs w:val="20"/>
        </w:rPr>
        <w:t xml:space="preserve"> </w:t>
      </w:r>
    </w:p>
    <w:sectPr w:rsidR="00D0284A" w:rsidSect="00D02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A1A0A"/>
    <w:multiLevelType w:val="hybridMultilevel"/>
    <w:tmpl w:val="4320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A36F1"/>
    <w:multiLevelType w:val="hybridMultilevel"/>
    <w:tmpl w:val="A97A3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DE7"/>
    <w:rsid w:val="00013E40"/>
    <w:rsid w:val="004A1DE7"/>
    <w:rsid w:val="00D02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F2424"/>
  <w15:docId w15:val="{749EFF1A-EF2D-4D9F-9F94-B2E50D87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DE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Sue</cp:lastModifiedBy>
  <cp:revision>2</cp:revision>
  <dcterms:created xsi:type="dcterms:W3CDTF">2021-03-01T15:56:00Z</dcterms:created>
  <dcterms:modified xsi:type="dcterms:W3CDTF">2021-03-01T15:56:00Z</dcterms:modified>
</cp:coreProperties>
</file>